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Решение Забайкальского УФАС России от 21.04.2023 N 075/07/3-128/2023</w:t>
      </w:r>
    </w:p>
    <w:p>
      <w:pPr>
        <w:pStyle w:val="0"/>
        <w:jc w:val="both"/>
      </w:pPr>
      <w:r>
        <w:rPr>
          <w:sz w:val="20"/>
        </w:rPr>
        <w:t xml:space="preserve">Обстоятельства: Поступила жалоба, в которой Заявитель оспаривает положения извещения об осуществлении закупки в части установления требований отходящих от характеристик, включенных в описание позиции КТРУ и количественные характеристики, отличные от указанных в нормативной документации (ТР ТС 033/2013 и ТР ТС 027/2012).</w:t>
      </w:r>
    </w:p>
    <w:p>
      <w:pPr>
        <w:pStyle w:val="0"/>
        <w:jc w:val="both"/>
      </w:pPr>
      <w:r>
        <w:rPr>
          <w:sz w:val="20"/>
        </w:rPr>
        <w:t xml:space="preserve">Решение: Признать жалобу необоснованной.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ЗАБАЙКАЛЬСКОМУ КРАЮ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21 апреля 2023 г. N 075/07/3-128/2023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Забайкальского УФАС России по рассмотрению жалобы N 075/07/03-120/2023 в составе: председателя комиссии руководителя управления; членов комиссии: ведущего специалиста - эксперта отдела контроля закупок; главного специалиста - эксперта этого же отдела;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участии по видеоконференцсвязи представителей заказчика - (доверенность от 19.04.2023 N 11), (доверенность от 19.04.2023 N 10),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отсутствие представителей заявителя и уполномоченного учреждения - о дате, времени и месте рассмотрения жалобы уведомлены надлежащим образом,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рассмотрев, в порядке, предусмотренном </w:t>
      </w:r>
      <w:r>
        <w:rPr>
          <w:sz w:val="20"/>
        </w:rPr>
        <w:t xml:space="preserve">статьей 18.1</w:t>
      </w:r>
      <w:r>
        <w:rPr>
          <w:sz w:val="20"/>
        </w:rPr>
        <w:t xml:space="preserve"> Федерального закона от 26.07.2006 N 135-ФЗ "О защите конкуренции" (далее - Закон о защите конкуренции), поступившую 12.04.2023 жалобу ООО "Н" на действия заказчика ГАУЗ "Шилкинская ЦРБ" при проведении запроса котировок в электронной форме, участниками которого могут быть только субъекты малого и среднего предпринимательства на поставку детского питания (реестровый номер 32312257001),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12.04.2023 в Забайкальское УФАС России поступила жалоба ООО "Н" на действия заказчика ГАУЗ "Шилкинская ЦРБ" при проведении запроса котировок в электронной форме, участниками которого могут быть только субъекты малого и среднего предпринимательства на поставку детского питания (реестровый номер 32312257001).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жалобой заявитель обжалует установление в извещении о закупке требований к товару, не соответствующих нормативной документации.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Жалоба о нарушении на действия комиссии заказчика рассмотрена в рамках настоящего дела в порядке, предусмотренном </w:t>
      </w:r>
      <w:r>
        <w:rPr>
          <w:sz w:val="20"/>
        </w:rPr>
        <w:t xml:space="preserve">статьей 18.1</w:t>
      </w:r>
      <w:r>
        <w:rPr>
          <w:sz w:val="20"/>
        </w:rPr>
        <w:t xml:space="preserve"> Федерального закона от 26.07.2006 N 135-ФЗ "О защите конкуренции".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Заказчиком представлены возражения по доводам жалобы, считают жалобу необоснованной.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ходе рассмотрения жалобы по закупке установлено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частью 13 статьи 3 Закона о закупках рассмотрение жалобы антимонопольным органом должно ограничиваться только доводами, составляющими предмет обжалования.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частями 1 и 2 статьи 2 Закона о закупках, при закупке товаров, работ, услуг заказчики руководствуются </w:t>
      </w:r>
      <w:r>
        <w:rPr>
          <w:sz w:val="20"/>
        </w:rPr>
        <w:t xml:space="preserve">Конституцией</w:t>
      </w:r>
      <w:r>
        <w:rPr>
          <w:sz w:val="20"/>
        </w:rPr>
        <w:t xml:space="preserve"> Российской Федерации, Гражданским кодексом Российской Федерации, настоящим Федеральным законом, другими федеральными законами и иными нормативными правовыми актами Российской Федерации, а также принятыми в соответствии с ними и утвержденными с учетом положений части 3 настоящей статьи правовыми актами, регламентирующими правила закупки. Положение о закупке является документом, который регламентирует закупочную деятельность заказчика и должен содержать требования к закупке, в том числе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Законом о закупках закупочная деятельность заказчика регламентируется положением о закупке.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Заказчик в закупочной деятельности руководствуется положением о закупке товаров, работ, услуг для нужд ГАУЗ "Шилкинская центральная районная больница", утвержденным протоколом заседания Наблюдательного Совета ГАУЗ "Шилкинская ЦРБ" N 28 от "28" сентября 2022 (далее - Положение о закупках ГАУЗ "Шилкинская ЦРБ").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Положение о закупках Заказчиком размещено на официальном сайте </w:t>
      </w:r>
      <w:r>
        <w:rPr>
          <w:sz w:val="20"/>
        </w:rPr>
        <w:t xml:space="preserve">www.zakupki.gov.ru</w:t>
      </w:r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05.04.2023 заказчиком размещено извещение о проведении запроса котировок в электронной форме, участниками которого могут быть только субъекты малого и среднего предпринимательства на поставку детского питания (реестровый номер 32312257001).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Начальная (максимальная) цена договора 604 800,00 рублей.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 протоколом от 13.04.2023 на участие в закупке поступило 2 заявки, обе заявки признаны соответствующими требованиям извещения, победителем признана ИП с ценой 594 000,00 рублей.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момент рассмотрения жалобы договор не заключен.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 представленные документы, заслушав пояснения представителей заказчика, комиссия Забайкальского УФАС России приходит к следующим выводам.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Жалоба ООО "Н" об установлении в извещении о закупке требований к товару, не соответствующих нормативной документации, признается Комиссией необоснованной по следующим основаниям.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части 1 статьи 3 Закона о закупках при закупке товаров, работ, услуг заказчики руководствуются следующими принципами: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1) информационная открытость закупки;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2) равноправие, справедливость, отсутствие дискриминации и необоснованных ограничений конкуренции по отношению к участникам закупки;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3) целевое и экономически эффективное расходование денежных средств на приобретение товаров, работ, услуг (с учетом при необходимости стоимости жизненного цикла закупаемой продукции) и реализация мер, направленных на сокращение издержек заказчика;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4) отсутствие ограничения допуска к участию в закупке путем установления неизмеряемых требований к участникам закупки.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части 6.1 статьи 3 Закона о закупках при описании в документации о конкурентной закупке предмета закупки заказчик должен руководствоваться следующими правилами: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1) 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пункту 1 части 10 статьи 4 Закона о закупках в документации о конкурентной закупке должны быть указаны: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1)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sectPr>
          <w:headerReference w:type="default" r:id="rId3"/>
          <w:headerReference w:type="first" r:id="rId3"/>
          <w:footerReference w:type="default" r:id="rId4"/>
          <w:footerReference w:type="first" r:id="rId4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54"/>
        <w:gridCol w:w="2499"/>
        <w:gridCol w:w="1153"/>
        <w:gridCol w:w="1276"/>
        <w:gridCol w:w="4536"/>
      </w:tblGrid>
      <w:tr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4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товара, работ(услуг)</w:t>
            </w:r>
          </w:p>
        </w:tc>
        <w:tc>
          <w:tcPr>
            <w:tcW w:w="1153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Кол-во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Ед. изм.</w:t>
            </w:r>
          </w:p>
        </w:tc>
        <w:tc>
          <w:tcPr>
            <w:tcW w:w="4536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Характеристики</w:t>
            </w:r>
          </w:p>
        </w:tc>
      </w:tr>
      <w:tr>
        <w:tc>
          <w:tcPr>
            <w:tcW w:w="754" w:type="dxa"/>
          </w:tcPr>
          <w:p>
            <w:pPr>
              <w:pStyle w:val="0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499" w:type="dxa"/>
          </w:tcPr>
          <w:p>
            <w:pPr>
              <w:pStyle w:val="0"/>
            </w:pPr>
            <w:r>
              <w:rPr>
                <w:sz w:val="20"/>
              </w:rPr>
              <w:t xml:space="preserve">Начальная молочная смесь для детского питания</w:t>
            </w:r>
          </w:p>
        </w:tc>
        <w:tc>
          <w:tcPr>
            <w:tcW w:w="1153" w:type="dxa"/>
          </w:tcPr>
          <w:p>
            <w:pPr>
              <w:pStyle w:val="0"/>
            </w:pPr>
            <w:r>
              <w:rPr>
                <w:sz w:val="20"/>
              </w:rPr>
              <w:t xml:space="preserve">720</w:t>
            </w:r>
          </w:p>
        </w:tc>
        <w:tc>
          <w:tcPr>
            <w:tcW w:w="1276" w:type="dxa"/>
          </w:tcPr>
          <w:p>
            <w:pPr>
              <w:pStyle w:val="0"/>
            </w:pPr>
            <w:r>
              <w:rPr>
                <w:sz w:val="20"/>
              </w:rPr>
              <w:t xml:space="preserve">Упак.</w:t>
            </w:r>
          </w:p>
        </w:tc>
        <w:tc>
          <w:tcPr>
            <w:tcW w:w="4536" w:type="dxa"/>
          </w:tcPr>
          <w:p>
            <w:pPr>
              <w:pStyle w:val="0"/>
            </w:pPr>
            <w:r>
              <w:rPr>
                <w:sz w:val="20"/>
              </w:rPr>
              <w:t xml:space="preserve">Адаптированная сухая молочная смесь для смешанного и искусственного вскармливания детей с рождения до 6 месяцев.</w:t>
            </w:r>
          </w:p>
          <w:p>
            <w:pPr>
              <w:pStyle w:val="0"/>
            </w:pPr>
            <w:r>
              <w:rPr>
                <w:sz w:val="20"/>
              </w:rPr>
              <w:t xml:space="preserve">Форма выпуска смеси: Сухая</w:t>
            </w:r>
          </w:p>
          <w:p>
            <w:pPr>
              <w:pStyle w:val="0"/>
            </w:pPr>
            <w:r>
              <w:rPr>
                <w:sz w:val="20"/>
              </w:rPr>
              <w:t xml:space="preserve">Вид смеси: Пресная</w:t>
            </w:r>
          </w:p>
          <w:p>
            <w:pPr>
              <w:pStyle w:val="0"/>
            </w:pPr>
            <w:r>
              <w:rPr>
                <w:sz w:val="20"/>
              </w:rPr>
              <w:t xml:space="preserve">Тип смеси: Адаптированная</w:t>
            </w:r>
          </w:p>
          <w:p>
            <w:pPr>
              <w:pStyle w:val="0"/>
            </w:pPr>
            <w:r>
              <w:rPr>
                <w:sz w:val="20"/>
              </w:rPr>
              <w:t xml:space="preserve">Дополнительные параметры:</w:t>
            </w:r>
          </w:p>
          <w:p>
            <w:pPr>
              <w:pStyle w:val="0"/>
            </w:pPr>
            <w:r>
              <w:rPr>
                <w:sz w:val="20"/>
              </w:rPr>
              <w:t xml:space="preserve">Состав (на 100 мл готовой смеси):</w:t>
            </w:r>
          </w:p>
          <w:p>
            <w:pPr>
              <w:pStyle w:val="0"/>
            </w:pPr>
            <w:r>
              <w:rPr>
                <w:sz w:val="20"/>
              </w:rPr>
              <w:t xml:space="preserve">белки 1,3 - 1,4 г</w:t>
            </w:r>
          </w:p>
          <w:p>
            <w:pPr>
              <w:pStyle w:val="0"/>
            </w:pPr>
            <w:r>
              <w:rPr>
                <w:sz w:val="20"/>
              </w:rPr>
              <w:t xml:space="preserve">белки молочной сыворотки не более 60%</w:t>
            </w:r>
          </w:p>
          <w:p>
            <w:pPr>
              <w:pStyle w:val="0"/>
            </w:pPr>
            <w:r>
              <w:rPr>
                <w:sz w:val="20"/>
              </w:rPr>
              <w:t xml:space="preserve">таурин 4,0 - 5,3 мг</w:t>
            </w:r>
          </w:p>
          <w:p>
            <w:pPr>
              <w:pStyle w:val="0"/>
            </w:pPr>
            <w:r>
              <w:rPr>
                <w:sz w:val="20"/>
              </w:rPr>
              <w:t xml:space="preserve">жиры 3,0 - 3,5 г</w:t>
            </w:r>
          </w:p>
          <w:p>
            <w:pPr>
              <w:pStyle w:val="0"/>
            </w:pPr>
            <w:r>
              <w:rPr>
                <w:sz w:val="20"/>
              </w:rPr>
              <w:t xml:space="preserve">углеводы 7,0-8,0 г</w:t>
            </w:r>
          </w:p>
          <w:p>
            <w:pPr>
              <w:pStyle w:val="0"/>
            </w:pPr>
            <w:r>
              <w:rPr>
                <w:sz w:val="20"/>
              </w:rPr>
              <w:t xml:space="preserve">магний 4,0-5,5 мг</w:t>
            </w:r>
          </w:p>
          <w:p>
            <w:pPr>
              <w:pStyle w:val="0"/>
            </w:pPr>
            <w:r>
              <w:rPr>
                <w:sz w:val="20"/>
              </w:rPr>
              <w:t xml:space="preserve">Железо 0,4 - 0,67 мг</w:t>
            </w:r>
          </w:p>
          <w:p>
            <w:pPr>
              <w:pStyle w:val="0"/>
            </w:pPr>
            <w:r>
              <w:rPr>
                <w:sz w:val="20"/>
              </w:rPr>
              <w:t xml:space="preserve">Пребиотики - наличие</w:t>
            </w:r>
          </w:p>
          <w:p>
            <w:pPr>
              <w:pStyle w:val="0"/>
            </w:pPr>
            <w:r>
              <w:rPr>
                <w:sz w:val="20"/>
              </w:rPr>
              <w:t xml:space="preserve">Упаковка - не менее 600 г.</w:t>
            </w:r>
          </w:p>
        </w:tc>
      </w:tr>
      <w:tr>
        <w:tc>
          <w:tcPr>
            <w:tcW w:w="754" w:type="dxa"/>
          </w:tcPr>
          <w:p>
            <w:pPr>
              <w:pStyle w:val="0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499" w:type="dxa"/>
          </w:tcPr>
          <w:p>
            <w:pPr>
              <w:pStyle w:val="0"/>
            </w:pPr>
            <w:r>
              <w:rPr>
                <w:sz w:val="20"/>
              </w:rPr>
              <w:t xml:space="preserve">Последующая молочная смесь для детского питания</w:t>
            </w:r>
          </w:p>
        </w:tc>
        <w:tc>
          <w:tcPr>
            <w:tcW w:w="1153" w:type="dxa"/>
          </w:tcPr>
          <w:p>
            <w:pPr>
              <w:pStyle w:val="0"/>
            </w:pPr>
            <w:r>
              <w:rPr>
                <w:sz w:val="20"/>
              </w:rPr>
              <w:t xml:space="preserve">360</w:t>
            </w:r>
          </w:p>
        </w:tc>
        <w:tc>
          <w:tcPr>
            <w:tcW w:w="1276" w:type="dxa"/>
          </w:tcPr>
          <w:p>
            <w:pPr>
              <w:pStyle w:val="0"/>
            </w:pPr>
            <w:r>
              <w:rPr>
                <w:sz w:val="20"/>
              </w:rPr>
              <w:t xml:space="preserve">Упак.</w:t>
            </w:r>
          </w:p>
        </w:tc>
        <w:tc>
          <w:tcPr>
            <w:tcW w:w="4536" w:type="dxa"/>
          </w:tcPr>
          <w:p>
            <w:pPr>
              <w:pStyle w:val="0"/>
            </w:pPr>
            <w:r>
              <w:rPr>
                <w:sz w:val="20"/>
              </w:rPr>
              <w:t xml:space="preserve">Форма выпуска смеси: Сухая</w:t>
            </w:r>
          </w:p>
          <w:p>
            <w:pPr>
              <w:pStyle w:val="0"/>
            </w:pPr>
            <w:r>
              <w:rPr>
                <w:sz w:val="20"/>
              </w:rPr>
              <w:t xml:space="preserve">Вид смеси: Пресная</w:t>
            </w:r>
          </w:p>
          <w:p>
            <w:pPr>
              <w:pStyle w:val="0"/>
            </w:pPr>
            <w:r>
              <w:rPr>
                <w:sz w:val="20"/>
              </w:rPr>
              <w:t xml:space="preserve">Дополнительные параметры:</w:t>
            </w:r>
          </w:p>
          <w:p>
            <w:pPr>
              <w:pStyle w:val="0"/>
            </w:pPr>
            <w:r>
              <w:rPr>
                <w:sz w:val="20"/>
              </w:rPr>
              <w:t xml:space="preserve">Адаптированная сухая молочная смесь для смешанного и искусственного вскармливания детей с 6 месяцев.</w:t>
            </w:r>
          </w:p>
          <w:p>
            <w:pPr>
              <w:pStyle w:val="0"/>
            </w:pPr>
            <w:r>
              <w:rPr>
                <w:sz w:val="20"/>
              </w:rPr>
              <w:t xml:space="preserve">Состав (на 100 мл готовой смеси):</w:t>
            </w:r>
          </w:p>
          <w:p>
            <w:pPr>
              <w:pStyle w:val="0"/>
            </w:pPr>
            <w:r>
              <w:rPr>
                <w:sz w:val="20"/>
              </w:rPr>
              <w:t xml:space="preserve">Белки 1,33 - 1,6 г</w:t>
            </w:r>
          </w:p>
          <w:p>
            <w:pPr>
              <w:pStyle w:val="0"/>
            </w:pPr>
            <w:r>
              <w:rPr>
                <w:sz w:val="20"/>
              </w:rPr>
              <w:t xml:space="preserve">белки молочной сыворотки не более 60%</w:t>
            </w:r>
          </w:p>
          <w:p>
            <w:pPr>
              <w:pStyle w:val="0"/>
            </w:pPr>
            <w:r>
              <w:rPr>
                <w:sz w:val="20"/>
              </w:rPr>
              <w:t xml:space="preserve">Т. не более 5,0 мг</w:t>
            </w:r>
          </w:p>
          <w:p>
            <w:pPr>
              <w:pStyle w:val="0"/>
            </w:pPr>
            <w:r>
              <w:rPr>
                <w:sz w:val="20"/>
              </w:rPr>
              <w:t xml:space="preserve">Жиры 3,0 - 3,6 г</w:t>
            </w:r>
          </w:p>
          <w:p>
            <w:pPr>
              <w:pStyle w:val="0"/>
            </w:pPr>
            <w:r>
              <w:rPr>
                <w:sz w:val="20"/>
              </w:rPr>
              <w:t xml:space="preserve">Углеводы 7,0 - 8,5 г</w:t>
            </w:r>
          </w:p>
          <w:p>
            <w:pPr>
              <w:pStyle w:val="0"/>
            </w:pPr>
            <w:r>
              <w:rPr>
                <w:sz w:val="20"/>
              </w:rPr>
              <w:t xml:space="preserve">Железо не более 1,0 мг</w:t>
            </w:r>
          </w:p>
          <w:p>
            <w:pPr>
              <w:pStyle w:val="0"/>
            </w:pPr>
            <w:r>
              <w:rPr>
                <w:sz w:val="20"/>
              </w:rPr>
              <w:t xml:space="preserve">Пребиотики - наличие</w:t>
            </w:r>
          </w:p>
          <w:p>
            <w:pPr>
              <w:pStyle w:val="0"/>
            </w:pPr>
            <w:r>
              <w:rPr>
                <w:sz w:val="20"/>
              </w:rPr>
              <w:t xml:space="preserve">Пробиотики - наличие</w:t>
            </w:r>
          </w:p>
          <w:p>
            <w:pPr>
              <w:pStyle w:val="0"/>
            </w:pPr>
            <w:r>
              <w:rPr>
                <w:sz w:val="20"/>
              </w:rPr>
              <w:t xml:space="preserve">Упаковка - не менее 400 г. не более 600 г.</w:t>
            </w:r>
          </w:p>
        </w:tc>
      </w:tr>
    </w:tbl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Пунктом 10 извещение о закупке заказчиком указано наименование, описание объекта закупки и количество товара: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Заявителем по доводу 1.1 указано следующее "Описание объекта закупки содержит требования, отходящие от характеристик, включенных в описание позиции КТРУ и количественные характеристики, отличные от указанных в нормативной документации (ТР ТС 033/2013 и ТР ТС 027/2012)".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Технический регламент Таможенного союза "О безопасности молока и молочной продукции" (ТР ТС 033/2013)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Технический регламент Таможенного союза "О безопасности отдельных видов специализированной пищевой продукции, в том числе диетического лечебного и диетического профилактического питания" (ТР ТС 027/2012) содержит перечень международных и региональных (межгосударственных) стандартов, а в случае га-отсутствия - национальных (государственных) стандартов, содержащих правила и методы исследований (испытаний) и измерений, в том числе правит отбора образцов, необходимые для применения и исполнения требований технического регламента Таможенного союза и осуществления оценки соответствия объектов технического регулирования.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Технический </w:t>
      </w:r>
      <w:r>
        <w:rPr>
          <w:sz w:val="20"/>
        </w:rPr>
        <w:t xml:space="preserve">регламент</w:t>
      </w:r>
      <w:r>
        <w:rPr>
          <w:sz w:val="20"/>
        </w:rPr>
        <w:t xml:space="preserve"> "О безопасности пищевой продукции" (ТР ТС 021/2011) устанавливает: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1) объекты технического регулирования;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2) требования безопасности (включая санитарно-эпидемиологические, гигиенические и ветеринарные) к объектам технического регулирования;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3) правша идентификации объектов технического регулирования;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4) формы и процедуры оценки (подтверждения) соответствия объектов технического регулирования требованиям настоящего технического </w:t>
      </w:r>
      <w:r>
        <w:rPr>
          <w:sz w:val="20"/>
        </w:rPr>
        <w:t xml:space="preserve">регламента</w:t>
      </w:r>
      <w:r>
        <w:rPr>
          <w:sz w:val="20"/>
        </w:rPr>
        <w:t xml:space="preserve">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Настоящие ТР содержат требования к отдельным видам пищевой продукции и связанным с требованиями к ним процессам производства (изготовления), хранения, перевозки (транспортирования), реализации и утилизации, устанавливаемые иными техническими регламентами Таможенного союза, не могут изменять требования настоящих ТР ТС, и не дают указаний о нормах потребления того или иного физико-химического показателя, и не регламентирует уровень их потребности организмом человека, устанавливая лишь допустимые уровни показателей пищевой ценности продукции, тем самым регламентируя производителям соответствие указанным нормам в пределах установленных границ допустимых уровней при производстве продукции, предупреждая действия, вводящие в заблуждение потребителей молока и молочной продукции относительно их назначения и безопасности.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пояснили представители заказчика, в описании объекта закупки присутствуют все показатели установленные ТР ТС 033/2013. Дополнительные характеристики молочных смесей установлены исходя из требований Заказчика не входящих в регламент.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описании объекта закупки Заказчиком были сравнены характеристики трех разных молочные смесей (Малютка 1, Нестожен 1, ХИПП 1).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Кроме того, ГАУЗ "Шилкинская ЦРБ" является автономным учреждением, и осуществляет свою деятельность в рамках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18 июля 2011 г. N 223-ФЗ "О закупках товаров, работ, услуг отдельными видами юридических лиц", правила КТРУ не применяется.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Заявителем по доводу 1.2 указано следующее "Согласно описанию объекта закупки, заказчик предъявляет требования различные от пункта к пункту к весу упаковки единицы товара".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описании объекта закупки Заказчиком сравнены характеристики трех разных молочные смесей (Малютка 1, Нестожен 1, ХИПП 1), которые имеют фасовку: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Начальная молочная смесь - 600 грамм, Последующая молочная смесь - от 400 до 600 грамм.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ТР ТС 033/2013 устанавливает требования к фасовке не превышающей 1 кг, при этом минимальный вес упаковки техническим регламентом не установлен.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Следовательно, установление данного требования к фасовке не противоречит ТР ТС 033/2013, т.к. не превышает 1 кг.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Комиссия отмечает, что заказчики, осуществляющие закупку в соответствии с требованиями указанного </w:t>
      </w:r>
      <w:r>
        <w:rPr>
          <w:sz w:val="20"/>
        </w:rPr>
        <w:t xml:space="preserve">Закона</w:t>
      </w:r>
      <w:r>
        <w:rPr>
          <w:sz w:val="20"/>
        </w:rPr>
        <w:t xml:space="preserve">, при описании объекта закупки должны таким образом сформулировать требования к закупаемым товарам чтобы, с одной стороны, обеспечить приобретение товара с необходимыми заказчику характеристиками, довести до сведения участников закупки сведения о характеристиках требуемого товара, в наибольшей степени удовлетворяющих потребности заказчика, а с другой стороны, не ограничить количество участников закупки.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этом, в извещении о закупке заказчику предоставлены полномочия по самостоятельному определению параметров и характеристик товара, в наибольшей степени удовлетворяющего его потребностям.</w:t>
      </w:r>
    </w:p>
    <w:p>
      <w:pPr>
        <w:pStyle w:val="0"/>
        <w:spacing w:before="200" w:lineRule="auto"/>
        <w:outlineLvl w:val="1"/>
        <w:ind w:firstLine="540"/>
        <w:jc w:val="both"/>
      </w:pPr>
      <w:r>
        <w:rPr>
          <w:sz w:val="20"/>
        </w:rPr>
        <w:t xml:space="preserve">Изложенное соответствует правовому подходу, содержащемуся в </w:t>
      </w:r>
      <w:r>
        <w:rPr>
          <w:sz w:val="20"/>
        </w:rPr>
        <w:t xml:space="preserve">определении</w:t>
      </w:r>
      <w:r>
        <w:rPr>
          <w:sz w:val="20"/>
        </w:rPr>
        <w:t xml:space="preserve"> Верховного суда Российской Федерации от 30 октября 2014 года N 304-КГ14-3003, согласно которому заказчику предоставлено право на установление в аукционной документации требований к качеству, техническим и функциональным характеристикам товара, которые соответствуют его потребностям, при этом сам по себе факт установления определенных характеристик к товару не свидетельствует об ограничении количества участников размещения заказа.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нормы </w:t>
      </w:r>
      <w:r>
        <w:rPr>
          <w:sz w:val="20"/>
        </w:rPr>
        <w:t xml:space="preserve">Закона</w:t>
      </w:r>
      <w:r>
        <w:rPr>
          <w:sz w:val="20"/>
        </w:rPr>
        <w:t xml:space="preserve"> направлены на обеспечение конкуренции не между товарами и не между производителями товаров, а между участниками закупок, при этом основной задачей этих норм является не столько обеспечение максимально широкого круга участников закупок, сколько выявление в результате этого </w:t>
      </w:r>
      <w:r>
        <w:rPr>
          <w:sz w:val="20"/>
        </w:rPr>
        <w:t xml:space="preserve">определения</w:t>
      </w:r>
      <w:r>
        <w:rPr>
          <w:sz w:val="20"/>
        </w:rPr>
        <w:t xml:space="preserve"> лица, исполнение контракта которым в наибольшей степени удовлетворит потребности заказчика в необходимом ему товаре.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Изложенное соответствует правовой позиции Президиума Высшего Арбитражного Суда Российской Федерации, выраженной в </w:t>
      </w:r>
      <w:r>
        <w:rPr>
          <w:sz w:val="20"/>
        </w:rPr>
        <w:t xml:space="preserve">постановлении</w:t>
      </w:r>
      <w:r>
        <w:rPr>
          <w:sz w:val="20"/>
        </w:rPr>
        <w:t xml:space="preserve"> от 28 декабря 2010 года N 11017/10, в соответствии с которой основной задачей законодательства, устанавливающего порядок проведения торгов, является не столько обеспечение максимально широкого круга участников размещения заказов, сколько выявление в результате торгов лица, исполнение контракта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заказов.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Заявителем по доводу 1.3 указано следующее "Согласно информации о товаре на площадке, заказчик приобретает смеси с кодами ОКПД 2: </w:t>
      </w:r>
      <w:r>
        <w:rPr>
          <w:sz w:val="20"/>
        </w:rPr>
        <w:t xml:space="preserve">10.86.10.139</w:t>
      </w:r>
      <w:r>
        <w:rPr>
          <w:sz w:val="20"/>
        </w:rPr>
        <w:t xml:space="preserve"> (начальная) и </w:t>
      </w:r>
      <w:r>
        <w:rPr>
          <w:sz w:val="20"/>
        </w:rPr>
        <w:t xml:space="preserve">10.86.10.122</w:t>
      </w:r>
      <w:r>
        <w:rPr>
          <w:sz w:val="20"/>
        </w:rPr>
        <w:t xml:space="preserve"> (последующая)".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проведении закупки Заказчик самостоятельно определяет коды </w:t>
      </w:r>
      <w:r>
        <w:rPr>
          <w:sz w:val="20"/>
        </w:rPr>
        <w:t xml:space="preserve">ОКПД2</w:t>
      </w:r>
      <w:r>
        <w:rPr>
          <w:sz w:val="20"/>
        </w:rPr>
        <w:t xml:space="preserve">. Выбранные коды соответствуют потребности заказчика в закупаемом товаре.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Кроме того, заявитель в своей жалобе указал, что "у добросовестного участника закупки на этапе приемки товара заказчиком возникнет проблема с приемкой, так как коды, указанные заказчиком и реальные коды товара, не совпадут", указанное не находит своего подтверждения, поскольку, как указали представители заказчика, при приемке товара Заказчик руководствуется наименованием объекта закупки, его ценой и техническим заданием согласно заключенного договора. Код </w:t>
      </w:r>
      <w:r>
        <w:rPr>
          <w:sz w:val="20"/>
        </w:rPr>
        <w:t xml:space="preserve">ОКПД2</w:t>
      </w:r>
      <w:r>
        <w:rPr>
          <w:sz w:val="20"/>
        </w:rPr>
        <w:t xml:space="preserve">, при приемке товара не отражается, электронная приемка в рамках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18 июля 2011 г. N 223-ФЗ отсутствует., следовательно проблем с приемкой товара вне зависимости от выбранного кода </w:t>
      </w:r>
      <w:r>
        <w:rPr>
          <w:sz w:val="20"/>
        </w:rPr>
        <w:t xml:space="preserve">ОКПД2</w:t>
      </w:r>
      <w:r>
        <w:rPr>
          <w:sz w:val="20"/>
        </w:rPr>
        <w:t xml:space="preserve"> у участника не возникает.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Исходя из изложенного, Комиссия Забайкальского УФАС России не усматривает нарушений требований Закона о закупках, </w:t>
      </w:r>
      <w:r>
        <w:rPr>
          <w:sz w:val="20"/>
        </w:rPr>
        <w:t xml:space="preserve">Закона</w:t>
      </w:r>
      <w:r>
        <w:rPr>
          <w:sz w:val="20"/>
        </w:rPr>
        <w:t xml:space="preserve"> о защите конкуренции в действиях заказчика, в связи с чем доводы заявителя признаются необоснованными.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 основании изложенного, руководствуясь </w:t>
      </w:r>
      <w:r>
        <w:rPr>
          <w:sz w:val="20"/>
        </w:rPr>
        <w:t xml:space="preserve">частями 14</w:t>
      </w:r>
      <w:r>
        <w:rPr>
          <w:sz w:val="20"/>
        </w:rPr>
        <w:t xml:space="preserve">, </w:t>
      </w:r>
      <w:r>
        <w:rPr>
          <w:sz w:val="20"/>
        </w:rPr>
        <w:t xml:space="preserve">17</w:t>
      </w:r>
      <w:r>
        <w:rPr>
          <w:sz w:val="20"/>
        </w:rPr>
        <w:t xml:space="preserve">, </w:t>
      </w:r>
      <w:r>
        <w:rPr>
          <w:sz w:val="20"/>
        </w:rPr>
        <w:t xml:space="preserve">20 статьи 18.1</w:t>
      </w:r>
      <w:r>
        <w:rPr>
          <w:sz w:val="20"/>
        </w:rPr>
        <w:t xml:space="preserve"> Закона о защите конкуренции, комиссия,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жалобу ООО "Н" (ИНН &lt;...&gt;, ОГРН &lt;...&gt;) необоснованной.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2. Оператору электронный площадки снять приостановку с закупки реестровый номер 32312257001.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Решение может быть обжаловано в Арбитражный суд Забайкальского края в течение трех месяцев со дня его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Забайкальского УФАС России от 21.04.2023 N 075/07/3-128/2023</w:t>
            <w:br/>
            <w:t>Обстоятельства: Поступила жалоба, в которой Заявите...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Забайкальского УФАС России от 21.04.2023 N 075/07/3-128/2023</w:t>
            <w:br/>
            <w:t>Обстоятельства: Поступила жалоба, в которой Заявите...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eader" Target="header2.xml"/><Relationship Id="rId6" Type="http://schemas.openxmlformats.org/officeDocument/2006/relationships/footer" Target="footer2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Забайкальского УФАС России от 21.04.2023 N 075/07/3-128/2023
Обстоятельства: Поступила жалоба, в которой Заявитель оспаривает положения извещения об осуществлении закупки в части установления требований отходящих от характеристик, включенных в описание позиции КТРУ и количественные характеристики, отличные от указанных в нормативной документации (ТР ТС 033/2013 и ТР ТС 027/2012).
Решение: Признать жалобу необоснованной.</dc:title>
  <dcterms:created xsi:type="dcterms:W3CDTF">2025-10-17T05:56:28Z</dcterms:created>
</cp:coreProperties>
</file>